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广东</w:t>
      </w:r>
      <w:r>
        <w:rPr>
          <w:rFonts w:ascii="黑体" w:hAnsi="黑体" w:eastAsia="黑体"/>
          <w:b/>
          <w:kern w:val="0"/>
          <w:sz w:val="32"/>
          <w:szCs w:val="32"/>
        </w:rPr>
        <w:t>省科技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创新</w:t>
      </w:r>
      <w:r>
        <w:rPr>
          <w:rFonts w:ascii="黑体" w:hAnsi="黑体" w:eastAsia="黑体"/>
          <w:b/>
          <w:kern w:val="0"/>
          <w:sz w:val="32"/>
          <w:szCs w:val="32"/>
        </w:rPr>
        <w:t>监测</w:t>
      </w:r>
      <w:r>
        <w:rPr>
          <w:rFonts w:hint="eastAsia" w:ascii="黑体" w:hAnsi="黑体" w:eastAsia="黑体"/>
          <w:b/>
          <w:kern w:val="0"/>
          <w:sz w:val="32"/>
          <w:szCs w:val="32"/>
        </w:rPr>
        <w:t>研究</w:t>
      </w:r>
      <w:r>
        <w:rPr>
          <w:rFonts w:ascii="黑体" w:hAnsi="黑体" w:eastAsia="黑体"/>
          <w:b/>
          <w:kern w:val="0"/>
          <w:sz w:val="32"/>
          <w:szCs w:val="32"/>
        </w:rPr>
        <w:t>中心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广东省科技业务管理阳光政务平台重构调研及设计咨询服务</w:t>
      </w:r>
      <w:r>
        <w:rPr>
          <w:rFonts w:hint="eastAsia" w:ascii="黑体" w:hAnsi="黑体" w:eastAsia="黑体"/>
          <w:b/>
          <w:kern w:val="0"/>
          <w:sz w:val="32"/>
          <w:szCs w:val="32"/>
        </w:rPr>
        <w:t>项目采购需求书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一、采购项目内容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广东省科技业务管理阳光政务平台重构调研及设计咨询服务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二、采购项目需求（包括种类、数量、质量）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通过实地调研和调研问卷等方式，学习国内科技信息系统建设较优秀地区和单位（如北京、上海、浙江及科技信息系统改革建设较为先进的地区和单位）有关科技业务的建设情况，了解国家和省层面最新的政策要求、方向指引，以及同行业最佳实践的经验做法，总结科技信息系统建设管理和国产化改造方面的优秀经验，分析当前项目在管理、建设、安全、服务以及运营等方面存在的问题，按需组织相关技术单位开展阳光政务服务平台系统现状、问题及升级改造需求技术专题研讨，在调研和研讨基础上，编制阳光政务服务平台建设调研报告1份，对调研企业进行综合评估，形成评估报告1份；充分了解省科技厅阳光政务平台重构需求，结合省内外先进做法，按当前政务信息系统建设的最新技术路线，从系统架构设计、技术路线设计、功能服务规划等方面进行总体规划和顶层设计，结合科技部门机构改革、科技业务管理需求等实际情况，完成阳光政务服务平台重构建设思路和平台整体规划设计，形成项目建设方案1份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采购项目服务期限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日至2024年3月31日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四、采购项目验收要求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供应商按要求完成采购服务内容后，提供调研报告、技术单位能力评估分析指标及报告、建设方案等咨询服务成果。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五、供应商要求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1.符合《政府采购法》第二十二条规定的条件；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2.具有独立法人资格。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.本项目不接受联合体投标。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.本项目不举行集中答疑标。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YTBiZGYxNmExMTc3ZWE5ZDg4YjZkZTYwZmE1MmEifQ=="/>
  </w:docVars>
  <w:rsids>
    <w:rsidRoot w:val="00000000"/>
    <w:rsid w:val="194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669</Characters>
  <Lines>0</Lines>
  <Paragraphs>0</Paragraphs>
  <TotalTime>0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pl</dc:creator>
  <cp:lastModifiedBy>黄宝强</cp:lastModifiedBy>
  <dcterms:modified xsi:type="dcterms:W3CDTF">2023-08-24T00:49:42Z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D05341888F1B4458A7076A29EA4355FF_12</vt:lpwstr>
  </property>
</Properties>
</file>